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7860" w14:textId="6EFD5326" w:rsidR="00CF39D0" w:rsidRPr="00600A27" w:rsidRDefault="00907FD7" w:rsidP="00CF39D0">
      <w:p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12666126" wp14:editId="3014BA62">
            <wp:simplePos x="0" y="0"/>
            <wp:positionH relativeFrom="column">
              <wp:posOffset>8181975</wp:posOffset>
            </wp:positionH>
            <wp:positionV relativeFrom="paragraph">
              <wp:posOffset>-219075</wp:posOffset>
            </wp:positionV>
            <wp:extent cx="1689100" cy="469265"/>
            <wp:effectExtent l="0" t="0" r="6350" b="6985"/>
            <wp:wrapNone/>
            <wp:docPr id="734705769" name="Obrázek 1" descr="Obsah obrázku text, Písmo, log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705769" name="Obrázek 1" descr="Obsah obrázku text, Písmo, logo, Grafika&#10;&#10;Obsah generovaný pomocí AI může být nesprávný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9D0" w:rsidRPr="00600A27">
        <w:rPr>
          <w:rFonts w:ascii="Calibri" w:hAnsi="Calibri" w:cs="Calibri"/>
          <w:b/>
          <w:bCs/>
          <w:sz w:val="24"/>
          <w:szCs w:val="24"/>
          <w:u w:val="single"/>
        </w:rPr>
        <w:t>PODMÍNKY pro krátkodobý pronájem Sokolovny Ochoz u Brna</w:t>
      </w:r>
    </w:p>
    <w:p w14:paraId="281243F0" w14:textId="3005FF60" w:rsidR="00CF39D0" w:rsidRPr="00907FD7" w:rsidRDefault="00CF39D0" w:rsidP="00600A27">
      <w:pPr>
        <w:spacing w:after="60" w:line="240" w:lineRule="auto"/>
        <w:jc w:val="both"/>
        <w:rPr>
          <w:rFonts w:ascii="Calibri" w:hAnsi="Calibri" w:cs="Calibri"/>
        </w:rPr>
      </w:pPr>
      <w:r w:rsidRPr="00907FD7">
        <w:rPr>
          <w:rFonts w:ascii="Calibri" w:hAnsi="Calibri" w:cs="Calibri"/>
        </w:rPr>
        <w:t xml:space="preserve">1) Kulturní, společenská nebo soukromá akce musí být předem rezervována. Kulturní a společenské akce pro veřejnost mají přednost před konáním soukromých akcí. </w:t>
      </w:r>
      <w:r w:rsidRPr="00907FD7">
        <w:rPr>
          <w:rFonts w:ascii="Calibri" w:hAnsi="Calibri" w:cs="Calibri"/>
          <w:b/>
          <w:bCs/>
        </w:rPr>
        <w:t>Soukromé akce tak mohou být bez náhrady zrušeny, a to 3 měsíce před jejich konáním</w:t>
      </w:r>
      <w:r w:rsidRPr="00907FD7">
        <w:rPr>
          <w:rFonts w:ascii="Calibri" w:hAnsi="Calibri" w:cs="Calibri"/>
        </w:rPr>
        <w:t>.</w:t>
      </w:r>
    </w:p>
    <w:p w14:paraId="5FC526E7" w14:textId="5FAE5B04" w:rsidR="00CF39D0" w:rsidRPr="00907FD7" w:rsidRDefault="00CF39D0" w:rsidP="00600A27">
      <w:pPr>
        <w:spacing w:after="60" w:line="240" w:lineRule="auto"/>
        <w:jc w:val="both"/>
        <w:rPr>
          <w:rFonts w:ascii="Calibri" w:hAnsi="Calibri" w:cs="Calibri"/>
        </w:rPr>
      </w:pPr>
      <w:r w:rsidRPr="00907FD7">
        <w:rPr>
          <w:rFonts w:ascii="Calibri" w:hAnsi="Calibri" w:cs="Calibri"/>
        </w:rPr>
        <w:t xml:space="preserve">2) Rezervace je možné provádět telefonicky, osobně nebo prostřednictvím webových stránek obce </w:t>
      </w:r>
      <w:hyperlink r:id="rId5" w:history="1">
        <w:r w:rsidRPr="00907FD7">
          <w:rPr>
            <w:rStyle w:val="Hypertextovodkaz"/>
            <w:rFonts w:ascii="Calibri" w:hAnsi="Calibri" w:cs="Calibri"/>
          </w:rPr>
          <w:t>www.ochozubrna.cz</w:t>
        </w:r>
      </w:hyperlink>
      <w:r w:rsidRPr="00907FD7">
        <w:rPr>
          <w:rFonts w:ascii="Calibri" w:hAnsi="Calibri" w:cs="Calibri"/>
        </w:rPr>
        <w:t>. Vždy je třeba uvést účel rezervace.</w:t>
      </w:r>
    </w:p>
    <w:p w14:paraId="29724828" w14:textId="2EDEA95D" w:rsidR="00CF39D0" w:rsidRPr="00907FD7" w:rsidRDefault="00CF39D0" w:rsidP="00600A27">
      <w:pPr>
        <w:spacing w:after="60" w:line="240" w:lineRule="auto"/>
        <w:jc w:val="both"/>
        <w:rPr>
          <w:rFonts w:ascii="Calibri" w:hAnsi="Calibri" w:cs="Calibri"/>
        </w:rPr>
      </w:pPr>
      <w:r w:rsidRPr="00907FD7">
        <w:rPr>
          <w:rFonts w:ascii="Calibri" w:hAnsi="Calibri" w:cs="Calibri"/>
        </w:rPr>
        <w:t>3) Soukromé akce podléhají vratné kauci 5 000 Kč, která musí být uhrazena nejpozději při převzetí klíčů. Po vzájemné dohodě je možné od kauce upustit.</w:t>
      </w:r>
    </w:p>
    <w:p w14:paraId="2046F103" w14:textId="3305D08B" w:rsidR="00CF39D0" w:rsidRPr="00907FD7" w:rsidRDefault="00CF39D0" w:rsidP="00600A27">
      <w:pPr>
        <w:spacing w:after="60" w:line="240" w:lineRule="auto"/>
        <w:jc w:val="both"/>
        <w:rPr>
          <w:rFonts w:ascii="Calibri" w:hAnsi="Calibri" w:cs="Calibri"/>
        </w:rPr>
      </w:pPr>
      <w:r w:rsidRPr="00907FD7">
        <w:rPr>
          <w:rFonts w:ascii="Calibri" w:hAnsi="Calibri" w:cs="Calibri"/>
        </w:rPr>
        <w:t>3) Odpovědná osoba převezme klíče a inventář (nádobí dle sčítacího archu + vybavení dle tabulky příslušenství) nejpozději jeden den před konáním akce do 14:00 hodin; odevzdá klíče nejpozději následující pracovní den po konání akce do 12:00 hodin, není-li dohodnuto jinak.</w:t>
      </w:r>
    </w:p>
    <w:p w14:paraId="5C98C8B2" w14:textId="7BE36D9B" w:rsidR="00CF39D0" w:rsidRPr="00907FD7" w:rsidRDefault="00CF39D0" w:rsidP="00600A27">
      <w:pPr>
        <w:spacing w:after="60" w:line="240" w:lineRule="auto"/>
        <w:jc w:val="both"/>
        <w:rPr>
          <w:rFonts w:ascii="Calibri" w:hAnsi="Calibri" w:cs="Calibri"/>
        </w:rPr>
      </w:pPr>
      <w:r w:rsidRPr="00907FD7">
        <w:rPr>
          <w:rFonts w:ascii="Calibri" w:hAnsi="Calibri" w:cs="Calibri"/>
        </w:rPr>
        <w:t>4) Při navrácení klíčů uhradí odpovědná osoba částku za pronájem uvedenou níže + částku odpovídající vzniklým škodám, příp. tato bude automaticky stržena z kauce.</w:t>
      </w:r>
    </w:p>
    <w:p w14:paraId="6C582EE0" w14:textId="7C42BFEC" w:rsidR="00CF39D0" w:rsidRPr="00907FD7" w:rsidRDefault="00CF39D0" w:rsidP="00600A27">
      <w:pPr>
        <w:spacing w:after="60" w:line="240" w:lineRule="auto"/>
        <w:jc w:val="both"/>
        <w:rPr>
          <w:rFonts w:ascii="Calibri" w:hAnsi="Calibri" w:cs="Calibri"/>
        </w:rPr>
      </w:pPr>
      <w:r w:rsidRPr="00907FD7">
        <w:rPr>
          <w:rFonts w:ascii="Calibri" w:hAnsi="Calibri" w:cs="Calibri"/>
        </w:rPr>
        <w:t>5) Odpovědná osoba ručí za to, že nebude narušován noční klid a nebude poškozováno a znečišťováno veřejné prostranství v okolí polyfunkčního pavilonu a</w:t>
      </w:r>
      <w:r w:rsidR="00600A27" w:rsidRPr="00907FD7">
        <w:rPr>
          <w:rFonts w:ascii="Calibri" w:hAnsi="Calibri" w:cs="Calibri"/>
        </w:rPr>
        <w:t> </w:t>
      </w:r>
      <w:r w:rsidRPr="00907FD7">
        <w:rPr>
          <w:rFonts w:ascii="Calibri" w:hAnsi="Calibri" w:cs="Calibri"/>
        </w:rPr>
        <w:t>areálu Sokolovny.</w:t>
      </w:r>
    </w:p>
    <w:p w14:paraId="140F3B95" w14:textId="2A373D08" w:rsidR="00907FD7" w:rsidRPr="00907FD7" w:rsidRDefault="00CF39D0" w:rsidP="00600A27">
      <w:pPr>
        <w:spacing w:after="60" w:line="240" w:lineRule="auto"/>
        <w:jc w:val="both"/>
        <w:rPr>
          <w:rFonts w:ascii="Calibri" w:hAnsi="Calibri" w:cs="Calibri"/>
        </w:rPr>
      </w:pPr>
      <w:r w:rsidRPr="00907FD7">
        <w:rPr>
          <w:rFonts w:ascii="Calibri" w:hAnsi="Calibri" w:cs="Calibri"/>
        </w:rPr>
        <w:t xml:space="preserve">6) Odpovědná osoba zabezpečí odstranění případných škod a úklid všech použitých prostor </w:t>
      </w:r>
      <w:r w:rsidR="00462287" w:rsidRPr="00907FD7">
        <w:rPr>
          <w:rFonts w:ascii="Calibri" w:hAnsi="Calibri" w:cs="Calibri"/>
        </w:rPr>
        <w:t>polyfunkčního</w:t>
      </w:r>
      <w:r w:rsidRPr="00907FD7">
        <w:rPr>
          <w:rFonts w:ascii="Calibri" w:hAnsi="Calibri" w:cs="Calibri"/>
        </w:rPr>
        <w:t xml:space="preserve"> domu po akci tzn. vrácení do původního stavu (např. čisté nádobí, podlahy, WC).</w:t>
      </w:r>
      <w:r w:rsidR="00907FD7">
        <w:rPr>
          <w:rFonts w:ascii="Calibri" w:hAnsi="Calibri" w:cs="Calibri"/>
        </w:rPr>
        <w:t xml:space="preserve"> Škody na zařízení se účtují dle aktuální hodnoty zařízení na trhu či ceny opravy.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7"/>
        <w:gridCol w:w="1581"/>
        <w:gridCol w:w="1559"/>
        <w:gridCol w:w="1559"/>
        <w:gridCol w:w="1362"/>
        <w:gridCol w:w="2142"/>
        <w:gridCol w:w="2259"/>
        <w:gridCol w:w="2684"/>
      </w:tblGrid>
      <w:tr w:rsidR="00AA6976" w:rsidRPr="00907FD7" w14:paraId="54D4D566" w14:textId="2BC4B60F" w:rsidTr="001D5314">
        <w:trPr>
          <w:trHeight w:val="555"/>
        </w:trPr>
        <w:tc>
          <w:tcPr>
            <w:tcW w:w="2247" w:type="dxa"/>
          </w:tcPr>
          <w:p w14:paraId="472440C0" w14:textId="77777777" w:rsidR="00AA6976" w:rsidRPr="00907FD7" w:rsidRDefault="00AA6976" w:rsidP="00CF39D0">
            <w:pPr>
              <w:rPr>
                <w:rFonts w:ascii="Calibri" w:hAnsi="Calibri" w:cs="Calibri"/>
              </w:rPr>
            </w:pPr>
          </w:p>
        </w:tc>
        <w:tc>
          <w:tcPr>
            <w:tcW w:w="1581" w:type="dxa"/>
          </w:tcPr>
          <w:p w14:paraId="17900C16" w14:textId="533ED68A" w:rsidR="00AA6976" w:rsidRPr="00907FD7" w:rsidRDefault="00AA6976" w:rsidP="00CF39D0">
            <w:pPr>
              <w:rPr>
                <w:rFonts w:ascii="Calibri" w:hAnsi="Calibri" w:cs="Calibri"/>
                <w:b/>
                <w:bCs/>
              </w:rPr>
            </w:pPr>
            <w:r w:rsidRPr="00907FD7">
              <w:rPr>
                <w:rFonts w:ascii="Calibri" w:hAnsi="Calibri" w:cs="Calibri"/>
                <w:b/>
                <w:bCs/>
              </w:rPr>
              <w:t xml:space="preserve">Komerční hod. sazba </w:t>
            </w:r>
          </w:p>
        </w:tc>
        <w:tc>
          <w:tcPr>
            <w:tcW w:w="1559" w:type="dxa"/>
          </w:tcPr>
          <w:p w14:paraId="2F9A7C87" w14:textId="08401882" w:rsidR="00AA6976" w:rsidRPr="00907FD7" w:rsidRDefault="00AA6976" w:rsidP="00CF39D0">
            <w:pPr>
              <w:rPr>
                <w:rFonts w:ascii="Calibri" w:hAnsi="Calibri" w:cs="Calibri"/>
                <w:b/>
                <w:bCs/>
              </w:rPr>
            </w:pPr>
            <w:r w:rsidRPr="00907FD7">
              <w:rPr>
                <w:rFonts w:ascii="Calibri" w:hAnsi="Calibri" w:cs="Calibri"/>
                <w:b/>
                <w:bCs/>
              </w:rPr>
              <w:t>Pá, So</w:t>
            </w:r>
            <w:r w:rsidR="005A057E">
              <w:rPr>
                <w:rFonts w:ascii="Calibri" w:hAnsi="Calibri" w:cs="Calibri"/>
                <w:b/>
                <w:bCs/>
              </w:rPr>
              <w:t>*</w:t>
            </w:r>
            <w:r w:rsidRPr="00907FD7">
              <w:rPr>
                <w:rFonts w:ascii="Calibri" w:hAnsi="Calibri" w:cs="Calibri"/>
                <w:b/>
                <w:bCs/>
              </w:rPr>
              <w:t>, Ne, svátek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F9AFE33" w14:textId="59B31417" w:rsidR="00AA6976" w:rsidRPr="00907FD7" w:rsidRDefault="00AA6976" w:rsidP="00CF39D0">
            <w:pPr>
              <w:rPr>
                <w:rFonts w:ascii="Calibri" w:hAnsi="Calibri" w:cs="Calibri"/>
                <w:b/>
                <w:bCs/>
              </w:rPr>
            </w:pPr>
            <w:r w:rsidRPr="00907FD7">
              <w:rPr>
                <w:rFonts w:ascii="Calibri" w:hAnsi="Calibri" w:cs="Calibri"/>
                <w:b/>
                <w:bCs/>
              </w:rPr>
              <w:t>Pá-Ne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064B5" w14:textId="77777777" w:rsidR="00AA6976" w:rsidRPr="00907FD7" w:rsidRDefault="00AA6976" w:rsidP="00CF39D0">
            <w:pPr>
              <w:rPr>
                <w:rFonts w:ascii="Calibri" w:hAnsi="Calibri" w:cs="Calibri"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</w:tcPr>
          <w:p w14:paraId="30D499AD" w14:textId="5A6A5C51" w:rsidR="00AA6976" w:rsidRPr="00907FD7" w:rsidRDefault="00AA6976" w:rsidP="00CF39D0">
            <w:pPr>
              <w:rPr>
                <w:rFonts w:ascii="Calibri" w:hAnsi="Calibri" w:cs="Calibri"/>
                <w:b/>
                <w:bCs/>
              </w:rPr>
            </w:pPr>
            <w:r w:rsidRPr="00907FD7">
              <w:rPr>
                <w:rFonts w:ascii="Calibri" w:hAnsi="Calibri" w:cs="Calibri"/>
                <w:b/>
                <w:bCs/>
              </w:rPr>
              <w:t>příslušenství</w:t>
            </w:r>
          </w:p>
        </w:tc>
        <w:tc>
          <w:tcPr>
            <w:tcW w:w="2259" w:type="dxa"/>
          </w:tcPr>
          <w:p w14:paraId="7FEF3629" w14:textId="5D2EE1B1" w:rsidR="00AA6976" w:rsidRPr="00907FD7" w:rsidRDefault="00AA6976" w:rsidP="00CF39D0">
            <w:pPr>
              <w:rPr>
                <w:rFonts w:ascii="Calibri" w:hAnsi="Calibri" w:cs="Calibri"/>
                <w:b/>
                <w:bCs/>
              </w:rPr>
            </w:pPr>
            <w:r w:rsidRPr="00907FD7">
              <w:rPr>
                <w:rFonts w:ascii="Calibri" w:hAnsi="Calibri" w:cs="Calibri"/>
                <w:b/>
                <w:bCs/>
              </w:rPr>
              <w:t>cena za použití</w:t>
            </w:r>
          </w:p>
        </w:tc>
        <w:tc>
          <w:tcPr>
            <w:tcW w:w="2684" w:type="dxa"/>
            <w:tcBorders>
              <w:bottom w:val="single" w:sz="4" w:space="0" w:color="auto"/>
            </w:tcBorders>
          </w:tcPr>
          <w:p w14:paraId="34891A38" w14:textId="017F4C35" w:rsidR="00AA6976" w:rsidRPr="00907FD7" w:rsidRDefault="00AA6976" w:rsidP="00CF39D0">
            <w:pPr>
              <w:rPr>
                <w:rFonts w:ascii="Calibri" w:hAnsi="Calibri" w:cs="Calibri"/>
                <w:b/>
                <w:bCs/>
              </w:rPr>
            </w:pPr>
            <w:r w:rsidRPr="00907FD7">
              <w:rPr>
                <w:rFonts w:ascii="Calibri" w:hAnsi="Calibri" w:cs="Calibri"/>
                <w:b/>
                <w:bCs/>
              </w:rPr>
              <w:t>poznámka</w:t>
            </w:r>
          </w:p>
        </w:tc>
      </w:tr>
      <w:tr w:rsidR="00600A27" w:rsidRPr="00907FD7" w14:paraId="4E97FF7B" w14:textId="77777777" w:rsidTr="001D5314">
        <w:trPr>
          <w:trHeight w:val="323"/>
        </w:trPr>
        <w:tc>
          <w:tcPr>
            <w:tcW w:w="2247" w:type="dxa"/>
            <w:vMerge w:val="restart"/>
          </w:tcPr>
          <w:p w14:paraId="467E5B59" w14:textId="3CA9ECFA" w:rsidR="00600A27" w:rsidRPr="00907FD7" w:rsidRDefault="00600A27" w:rsidP="00CF39D0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907FD7">
              <w:rPr>
                <w:rFonts w:ascii="Calibri" w:hAnsi="Calibri" w:cs="Calibri"/>
                <w:b/>
                <w:bCs/>
              </w:rPr>
              <w:t>Polyfunkce</w:t>
            </w:r>
            <w:proofErr w:type="spellEnd"/>
            <w:r w:rsidRPr="00907FD7">
              <w:rPr>
                <w:rFonts w:ascii="Calibri" w:hAnsi="Calibri" w:cs="Calibri"/>
                <w:b/>
                <w:bCs/>
              </w:rPr>
              <w:t xml:space="preserve"> léto</w:t>
            </w:r>
          </w:p>
        </w:tc>
        <w:tc>
          <w:tcPr>
            <w:tcW w:w="1581" w:type="dxa"/>
            <w:vMerge w:val="restart"/>
          </w:tcPr>
          <w:p w14:paraId="78834FCE" w14:textId="1EFD04E8" w:rsidR="00600A27" w:rsidRPr="00907FD7" w:rsidRDefault="00600A27" w:rsidP="00CF39D0">
            <w:pPr>
              <w:rPr>
                <w:rFonts w:ascii="Calibri" w:hAnsi="Calibri" w:cs="Calibri"/>
              </w:rPr>
            </w:pPr>
            <w:r w:rsidRPr="00907FD7">
              <w:rPr>
                <w:rFonts w:ascii="Calibri" w:hAnsi="Calibri" w:cs="Calibri"/>
              </w:rPr>
              <w:t>200 Kč/hod.</w:t>
            </w:r>
          </w:p>
        </w:tc>
        <w:tc>
          <w:tcPr>
            <w:tcW w:w="1559" w:type="dxa"/>
            <w:vMerge w:val="restart"/>
          </w:tcPr>
          <w:p w14:paraId="60997B69" w14:textId="7B6AEA15" w:rsidR="00600A27" w:rsidRPr="00907FD7" w:rsidRDefault="00600A27" w:rsidP="00CF39D0">
            <w:pPr>
              <w:rPr>
                <w:rFonts w:ascii="Calibri" w:hAnsi="Calibri" w:cs="Calibri"/>
              </w:rPr>
            </w:pPr>
            <w:r w:rsidRPr="00907FD7">
              <w:rPr>
                <w:rFonts w:ascii="Calibri" w:hAnsi="Calibri" w:cs="Calibri"/>
              </w:rPr>
              <w:t>1 000 Kč/den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7B20426F" w14:textId="241261D9" w:rsidR="00600A27" w:rsidRPr="00907FD7" w:rsidRDefault="00600A27" w:rsidP="00CF39D0">
            <w:pPr>
              <w:rPr>
                <w:rFonts w:ascii="Calibri" w:hAnsi="Calibri" w:cs="Calibri"/>
              </w:rPr>
            </w:pPr>
            <w:r w:rsidRPr="00907FD7">
              <w:rPr>
                <w:rFonts w:ascii="Calibri" w:hAnsi="Calibri" w:cs="Calibri"/>
              </w:rPr>
              <w:t>3 000 Kč</w:t>
            </w: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18D9E" w14:textId="77777777" w:rsidR="00600A27" w:rsidRPr="00907FD7" w:rsidRDefault="00600A27" w:rsidP="00CF39D0">
            <w:pPr>
              <w:rPr>
                <w:rFonts w:ascii="Calibri" w:hAnsi="Calibri" w:cs="Calibri"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</w:tcPr>
          <w:p w14:paraId="13C2B274" w14:textId="0B362C1E" w:rsidR="00600A27" w:rsidRPr="00907FD7" w:rsidRDefault="00600A27" w:rsidP="00CF39D0">
            <w:pPr>
              <w:rPr>
                <w:rFonts w:ascii="Calibri" w:hAnsi="Calibri" w:cs="Calibri"/>
              </w:rPr>
            </w:pPr>
            <w:r w:rsidRPr="00907FD7">
              <w:rPr>
                <w:rFonts w:ascii="Calibri" w:hAnsi="Calibri" w:cs="Calibri"/>
              </w:rPr>
              <w:t>Mikrovlnná trouba</w:t>
            </w:r>
          </w:p>
        </w:tc>
        <w:tc>
          <w:tcPr>
            <w:tcW w:w="2259" w:type="dxa"/>
          </w:tcPr>
          <w:p w14:paraId="2F44CDA1" w14:textId="2BA84F26" w:rsidR="00600A27" w:rsidRPr="00907FD7" w:rsidRDefault="00600A27" w:rsidP="00AA6976">
            <w:pPr>
              <w:jc w:val="center"/>
              <w:rPr>
                <w:rFonts w:ascii="Calibri" w:hAnsi="Calibri" w:cs="Calibri"/>
              </w:rPr>
            </w:pPr>
            <w:r w:rsidRPr="00907FD7">
              <w:rPr>
                <w:rFonts w:ascii="Calibri" w:hAnsi="Calibri" w:cs="Calibri"/>
              </w:rPr>
              <w:t>v ceně pronájmu</w:t>
            </w:r>
          </w:p>
        </w:tc>
        <w:tc>
          <w:tcPr>
            <w:tcW w:w="2684" w:type="dxa"/>
            <w:vMerge w:val="restart"/>
            <w:tcBorders>
              <w:bottom w:val="nil"/>
            </w:tcBorders>
          </w:tcPr>
          <w:p w14:paraId="6F92BD8B" w14:textId="77777777" w:rsidR="00600A27" w:rsidRPr="00907FD7" w:rsidRDefault="00600A27" w:rsidP="00600A27">
            <w:pPr>
              <w:spacing w:after="0" w:line="240" w:lineRule="auto"/>
              <w:rPr>
                <w:rFonts w:ascii="Calibri" w:hAnsi="Calibri" w:cs="Calibri"/>
              </w:rPr>
            </w:pPr>
            <w:r w:rsidRPr="00907FD7">
              <w:rPr>
                <w:rFonts w:ascii="Calibri" w:hAnsi="Calibri" w:cs="Calibri"/>
              </w:rPr>
              <w:t>Spotřebiče používejte dle návodu v kuchyni.</w:t>
            </w:r>
          </w:p>
          <w:p w14:paraId="6CEE61B0" w14:textId="77777777" w:rsidR="00600A27" w:rsidRPr="00907FD7" w:rsidRDefault="00600A27" w:rsidP="00600A27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2C392B5" w14:textId="77777777" w:rsidR="00600A27" w:rsidRPr="00907FD7" w:rsidRDefault="00600A27" w:rsidP="00600A27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131F1998" w14:textId="77777777" w:rsidR="00600A27" w:rsidRPr="00907FD7" w:rsidRDefault="00600A27" w:rsidP="00600A27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0B2C04A" w14:textId="77777777" w:rsidR="00600A27" w:rsidRPr="00907FD7" w:rsidRDefault="00600A27" w:rsidP="00600A27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ABB56DC" w14:textId="77777777" w:rsidR="00600A27" w:rsidRPr="00907FD7" w:rsidRDefault="00600A27" w:rsidP="00600A27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113AD18B" w14:textId="77777777" w:rsidR="00600A27" w:rsidRPr="00907FD7" w:rsidRDefault="00600A27" w:rsidP="00600A27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55916759" w14:textId="77777777" w:rsidR="00600A27" w:rsidRPr="00907FD7" w:rsidRDefault="00600A27" w:rsidP="00600A27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7D9169E2" w14:textId="3830AA86" w:rsidR="00600A27" w:rsidRPr="00907FD7" w:rsidRDefault="00600A27" w:rsidP="00600A27">
            <w:pPr>
              <w:spacing w:after="0" w:line="240" w:lineRule="auto"/>
              <w:rPr>
                <w:rFonts w:ascii="Calibri" w:hAnsi="Calibri" w:cs="Calibri"/>
              </w:rPr>
            </w:pPr>
            <w:r w:rsidRPr="00907FD7">
              <w:rPr>
                <w:rFonts w:ascii="Calibri" w:hAnsi="Calibri" w:cs="Calibri"/>
              </w:rPr>
              <w:t>Svítí-li signál na čištění kávovaru</w:t>
            </w:r>
            <w:r w:rsidR="001D5314">
              <w:rPr>
                <w:rFonts w:ascii="Calibri" w:hAnsi="Calibri" w:cs="Calibri"/>
              </w:rPr>
              <w:t xml:space="preserve"> =</w:t>
            </w:r>
            <w:r w:rsidRPr="00907FD7">
              <w:rPr>
                <w:rFonts w:ascii="Calibri" w:hAnsi="Calibri" w:cs="Calibri"/>
              </w:rPr>
              <w:t xml:space="preserve"> NEPOUŽÍVAT a nahlásit nutnost čištění.</w:t>
            </w:r>
          </w:p>
        </w:tc>
      </w:tr>
      <w:tr w:rsidR="00600A27" w:rsidRPr="00907FD7" w14:paraId="5973C318" w14:textId="77777777" w:rsidTr="001D5314">
        <w:trPr>
          <w:trHeight w:val="322"/>
        </w:trPr>
        <w:tc>
          <w:tcPr>
            <w:tcW w:w="2247" w:type="dxa"/>
            <w:vMerge/>
          </w:tcPr>
          <w:p w14:paraId="103E0CC6" w14:textId="77777777" w:rsidR="00600A27" w:rsidRPr="00907FD7" w:rsidRDefault="00600A27" w:rsidP="00CF39D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81" w:type="dxa"/>
            <w:vMerge/>
          </w:tcPr>
          <w:p w14:paraId="377CC213" w14:textId="77777777" w:rsidR="00600A27" w:rsidRPr="00907FD7" w:rsidRDefault="00600A27" w:rsidP="00CF39D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</w:tcPr>
          <w:p w14:paraId="482E2AF1" w14:textId="77777777" w:rsidR="00600A27" w:rsidRPr="00907FD7" w:rsidRDefault="00600A27" w:rsidP="00CF39D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2E3249CD" w14:textId="77777777" w:rsidR="00600A27" w:rsidRPr="00907FD7" w:rsidRDefault="00600A27" w:rsidP="00CF39D0">
            <w:pPr>
              <w:rPr>
                <w:rFonts w:ascii="Calibri" w:hAnsi="Calibri" w:cs="Calibri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606AD" w14:textId="77777777" w:rsidR="00600A27" w:rsidRPr="00907FD7" w:rsidRDefault="00600A27" w:rsidP="00CF39D0">
            <w:pPr>
              <w:rPr>
                <w:rFonts w:ascii="Calibri" w:hAnsi="Calibri" w:cs="Calibri"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</w:tcPr>
          <w:p w14:paraId="4B7B0672" w14:textId="132AFC37" w:rsidR="00600A27" w:rsidRPr="00907FD7" w:rsidRDefault="00600A27" w:rsidP="00CF39D0">
            <w:pPr>
              <w:rPr>
                <w:rFonts w:ascii="Calibri" w:hAnsi="Calibri" w:cs="Calibri"/>
              </w:rPr>
            </w:pPr>
            <w:r w:rsidRPr="00907FD7">
              <w:rPr>
                <w:rFonts w:ascii="Calibri" w:hAnsi="Calibri" w:cs="Calibri"/>
              </w:rPr>
              <w:t>Myčka nádobí</w:t>
            </w:r>
          </w:p>
        </w:tc>
        <w:tc>
          <w:tcPr>
            <w:tcW w:w="2259" w:type="dxa"/>
          </w:tcPr>
          <w:p w14:paraId="49B316F5" w14:textId="05F06EB6" w:rsidR="00600A27" w:rsidRPr="00907FD7" w:rsidRDefault="00600A27" w:rsidP="00AA6976">
            <w:pPr>
              <w:jc w:val="center"/>
              <w:rPr>
                <w:rFonts w:ascii="Calibri" w:hAnsi="Calibri" w:cs="Calibri"/>
              </w:rPr>
            </w:pPr>
            <w:r w:rsidRPr="00907FD7">
              <w:rPr>
                <w:rFonts w:ascii="Calibri" w:hAnsi="Calibri" w:cs="Calibri"/>
              </w:rPr>
              <w:t>v ceně pronájmu</w:t>
            </w:r>
          </w:p>
        </w:tc>
        <w:tc>
          <w:tcPr>
            <w:tcW w:w="2684" w:type="dxa"/>
            <w:vMerge/>
            <w:tcBorders>
              <w:bottom w:val="nil"/>
            </w:tcBorders>
          </w:tcPr>
          <w:p w14:paraId="7684A325" w14:textId="77777777" w:rsidR="00600A27" w:rsidRPr="00907FD7" w:rsidRDefault="00600A27" w:rsidP="00CF39D0">
            <w:pPr>
              <w:rPr>
                <w:rFonts w:ascii="Calibri" w:hAnsi="Calibri" w:cs="Calibri"/>
              </w:rPr>
            </w:pPr>
          </w:p>
        </w:tc>
      </w:tr>
      <w:tr w:rsidR="00600A27" w:rsidRPr="00907FD7" w14:paraId="3651DA8C" w14:textId="77777777" w:rsidTr="001D5314">
        <w:trPr>
          <w:trHeight w:val="398"/>
        </w:trPr>
        <w:tc>
          <w:tcPr>
            <w:tcW w:w="2247" w:type="dxa"/>
            <w:vMerge w:val="restart"/>
          </w:tcPr>
          <w:p w14:paraId="66CF81F3" w14:textId="24F906CE" w:rsidR="00600A27" w:rsidRPr="00907FD7" w:rsidRDefault="00600A27" w:rsidP="00CF39D0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907FD7">
              <w:rPr>
                <w:rFonts w:ascii="Calibri" w:hAnsi="Calibri" w:cs="Calibri"/>
                <w:b/>
                <w:bCs/>
              </w:rPr>
              <w:t>Polyfunkce</w:t>
            </w:r>
            <w:proofErr w:type="spellEnd"/>
            <w:r w:rsidRPr="00907FD7">
              <w:rPr>
                <w:rFonts w:ascii="Calibri" w:hAnsi="Calibri" w:cs="Calibri"/>
                <w:b/>
                <w:bCs/>
              </w:rPr>
              <w:t xml:space="preserve"> zima (listopad až březen)</w:t>
            </w:r>
          </w:p>
        </w:tc>
        <w:tc>
          <w:tcPr>
            <w:tcW w:w="1581" w:type="dxa"/>
            <w:vMerge w:val="restart"/>
          </w:tcPr>
          <w:p w14:paraId="41B922C4" w14:textId="263EAAA3" w:rsidR="00600A27" w:rsidRPr="00907FD7" w:rsidRDefault="00600A27" w:rsidP="00CF39D0">
            <w:pPr>
              <w:rPr>
                <w:rFonts w:ascii="Calibri" w:hAnsi="Calibri" w:cs="Calibri"/>
              </w:rPr>
            </w:pPr>
            <w:r w:rsidRPr="00907FD7">
              <w:rPr>
                <w:rFonts w:ascii="Calibri" w:hAnsi="Calibri" w:cs="Calibri"/>
              </w:rPr>
              <w:t>300 Kč/hod.</w:t>
            </w:r>
          </w:p>
        </w:tc>
        <w:tc>
          <w:tcPr>
            <w:tcW w:w="1559" w:type="dxa"/>
            <w:vMerge w:val="restart"/>
          </w:tcPr>
          <w:p w14:paraId="76778AB9" w14:textId="3DEF528D" w:rsidR="00600A27" w:rsidRPr="00907FD7" w:rsidRDefault="00600A27" w:rsidP="00CF39D0">
            <w:pPr>
              <w:rPr>
                <w:rFonts w:ascii="Calibri" w:hAnsi="Calibri" w:cs="Calibri"/>
              </w:rPr>
            </w:pPr>
            <w:r w:rsidRPr="00907FD7">
              <w:rPr>
                <w:rFonts w:ascii="Calibri" w:hAnsi="Calibri" w:cs="Calibri"/>
              </w:rPr>
              <w:t>1 500 Kč/den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6311CD05" w14:textId="2E10B222" w:rsidR="00600A27" w:rsidRPr="00907FD7" w:rsidRDefault="00600A27" w:rsidP="00CF39D0">
            <w:pPr>
              <w:rPr>
                <w:rFonts w:ascii="Calibri" w:hAnsi="Calibri" w:cs="Calibri"/>
              </w:rPr>
            </w:pPr>
            <w:r w:rsidRPr="00907FD7">
              <w:rPr>
                <w:rFonts w:ascii="Calibri" w:hAnsi="Calibri" w:cs="Calibri"/>
              </w:rPr>
              <w:t>4 500 Kč</w:t>
            </w: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335B9" w14:textId="77777777" w:rsidR="00600A27" w:rsidRPr="00907FD7" w:rsidRDefault="00600A27" w:rsidP="00CF39D0">
            <w:pPr>
              <w:rPr>
                <w:rFonts w:ascii="Calibri" w:hAnsi="Calibri" w:cs="Calibri"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</w:tcPr>
          <w:p w14:paraId="5960CC2D" w14:textId="76F75DB1" w:rsidR="00600A27" w:rsidRPr="00907FD7" w:rsidRDefault="00600A27" w:rsidP="00CF39D0">
            <w:pPr>
              <w:rPr>
                <w:rFonts w:ascii="Calibri" w:hAnsi="Calibri" w:cs="Calibri"/>
              </w:rPr>
            </w:pPr>
            <w:r w:rsidRPr="00907FD7">
              <w:rPr>
                <w:rFonts w:ascii="Calibri" w:hAnsi="Calibri" w:cs="Calibri"/>
              </w:rPr>
              <w:t>Lednice</w:t>
            </w:r>
          </w:p>
        </w:tc>
        <w:tc>
          <w:tcPr>
            <w:tcW w:w="2259" w:type="dxa"/>
          </w:tcPr>
          <w:p w14:paraId="7185CF9C" w14:textId="0FA7BFA1" w:rsidR="00600A27" w:rsidRPr="00907FD7" w:rsidRDefault="00600A27" w:rsidP="00AA6976">
            <w:pPr>
              <w:jc w:val="center"/>
              <w:rPr>
                <w:rFonts w:ascii="Calibri" w:hAnsi="Calibri" w:cs="Calibri"/>
              </w:rPr>
            </w:pPr>
            <w:r w:rsidRPr="00907FD7">
              <w:rPr>
                <w:rFonts w:ascii="Calibri" w:hAnsi="Calibri" w:cs="Calibri"/>
              </w:rPr>
              <w:t>v ceně pronájmu</w:t>
            </w:r>
          </w:p>
        </w:tc>
        <w:tc>
          <w:tcPr>
            <w:tcW w:w="2684" w:type="dxa"/>
            <w:vMerge/>
            <w:tcBorders>
              <w:bottom w:val="nil"/>
            </w:tcBorders>
          </w:tcPr>
          <w:p w14:paraId="357A77C7" w14:textId="77777777" w:rsidR="00600A27" w:rsidRPr="00907FD7" w:rsidRDefault="00600A27" w:rsidP="00CF39D0">
            <w:pPr>
              <w:rPr>
                <w:rFonts w:ascii="Calibri" w:hAnsi="Calibri" w:cs="Calibri"/>
              </w:rPr>
            </w:pPr>
          </w:p>
        </w:tc>
      </w:tr>
      <w:tr w:rsidR="00600A27" w:rsidRPr="00907FD7" w14:paraId="2AAF48EE" w14:textId="77777777" w:rsidTr="001D5314">
        <w:trPr>
          <w:trHeight w:val="397"/>
        </w:trPr>
        <w:tc>
          <w:tcPr>
            <w:tcW w:w="2247" w:type="dxa"/>
            <w:vMerge/>
            <w:tcBorders>
              <w:bottom w:val="single" w:sz="4" w:space="0" w:color="auto"/>
            </w:tcBorders>
          </w:tcPr>
          <w:p w14:paraId="4EB267B0" w14:textId="77777777" w:rsidR="00600A27" w:rsidRPr="00907FD7" w:rsidRDefault="00600A27" w:rsidP="00CF39D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14:paraId="2D40BCAE" w14:textId="77777777" w:rsidR="00600A27" w:rsidRPr="00907FD7" w:rsidRDefault="00600A27" w:rsidP="00CF39D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7932EB6" w14:textId="77777777" w:rsidR="00600A27" w:rsidRPr="00907FD7" w:rsidRDefault="00600A27" w:rsidP="00CF39D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473CB3E" w14:textId="77777777" w:rsidR="00600A27" w:rsidRPr="00907FD7" w:rsidRDefault="00600A27" w:rsidP="00CF39D0">
            <w:pPr>
              <w:rPr>
                <w:rFonts w:ascii="Calibri" w:hAnsi="Calibri" w:cs="Calibri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8DC2B" w14:textId="77777777" w:rsidR="00600A27" w:rsidRPr="00907FD7" w:rsidRDefault="00600A27" w:rsidP="00CF39D0">
            <w:pPr>
              <w:rPr>
                <w:rFonts w:ascii="Calibri" w:hAnsi="Calibri" w:cs="Calibri"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</w:tcPr>
          <w:p w14:paraId="7B3344DE" w14:textId="4F777803" w:rsidR="00600A27" w:rsidRPr="00907FD7" w:rsidRDefault="00600A27" w:rsidP="00CF39D0">
            <w:pPr>
              <w:rPr>
                <w:rFonts w:ascii="Calibri" w:hAnsi="Calibri" w:cs="Calibri"/>
              </w:rPr>
            </w:pPr>
            <w:r w:rsidRPr="00907FD7">
              <w:rPr>
                <w:rFonts w:ascii="Calibri" w:hAnsi="Calibri" w:cs="Calibri"/>
              </w:rPr>
              <w:t>Varná deska</w:t>
            </w:r>
          </w:p>
        </w:tc>
        <w:tc>
          <w:tcPr>
            <w:tcW w:w="2259" w:type="dxa"/>
          </w:tcPr>
          <w:p w14:paraId="78E60489" w14:textId="73D40133" w:rsidR="00600A27" w:rsidRPr="00907FD7" w:rsidRDefault="00600A27" w:rsidP="00AA6976">
            <w:pPr>
              <w:jc w:val="center"/>
              <w:rPr>
                <w:rFonts w:ascii="Calibri" w:hAnsi="Calibri" w:cs="Calibri"/>
              </w:rPr>
            </w:pPr>
            <w:r w:rsidRPr="00907FD7">
              <w:rPr>
                <w:rFonts w:ascii="Calibri" w:hAnsi="Calibri" w:cs="Calibri"/>
              </w:rPr>
              <w:t>v ceně pronájmu</w:t>
            </w:r>
          </w:p>
        </w:tc>
        <w:tc>
          <w:tcPr>
            <w:tcW w:w="2684" w:type="dxa"/>
            <w:vMerge/>
            <w:tcBorders>
              <w:bottom w:val="nil"/>
            </w:tcBorders>
          </w:tcPr>
          <w:p w14:paraId="2B4900C5" w14:textId="77777777" w:rsidR="00600A27" w:rsidRPr="00907FD7" w:rsidRDefault="00600A27" w:rsidP="00CF39D0">
            <w:pPr>
              <w:rPr>
                <w:rFonts w:ascii="Calibri" w:hAnsi="Calibri" w:cs="Calibri"/>
              </w:rPr>
            </w:pPr>
          </w:p>
        </w:tc>
      </w:tr>
      <w:tr w:rsidR="00600A27" w:rsidRPr="00907FD7" w14:paraId="1C003447" w14:textId="77777777" w:rsidTr="001D5314">
        <w:trPr>
          <w:trHeight w:val="435"/>
        </w:trPr>
        <w:tc>
          <w:tcPr>
            <w:tcW w:w="6946" w:type="dxa"/>
            <w:gridSpan w:val="4"/>
            <w:vMerge w:val="restart"/>
            <w:tcBorders>
              <w:bottom w:val="nil"/>
              <w:right w:val="single" w:sz="4" w:space="0" w:color="auto"/>
            </w:tcBorders>
          </w:tcPr>
          <w:p w14:paraId="0A6C0645" w14:textId="1DF8D8C5" w:rsidR="00600A27" w:rsidRPr="00907FD7" w:rsidRDefault="00600A27" w:rsidP="00CF39D0">
            <w:pPr>
              <w:rPr>
                <w:rFonts w:ascii="Calibri" w:hAnsi="Calibri" w:cs="Calibri"/>
              </w:rPr>
            </w:pPr>
            <w:r w:rsidRPr="00907FD7">
              <w:rPr>
                <w:rFonts w:ascii="Calibri" w:hAnsi="Calibri" w:cs="Calibri"/>
              </w:rPr>
              <w:t>Místo pro poznámky:</w:t>
            </w: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93146" w14:textId="77777777" w:rsidR="00600A27" w:rsidRPr="00907FD7" w:rsidRDefault="00600A27" w:rsidP="00CF39D0">
            <w:pPr>
              <w:rPr>
                <w:rFonts w:ascii="Calibri" w:hAnsi="Calibri" w:cs="Calibri"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</w:tcPr>
          <w:p w14:paraId="46242AB6" w14:textId="326C51FC" w:rsidR="00600A27" w:rsidRPr="00907FD7" w:rsidRDefault="00600A27" w:rsidP="00CF39D0">
            <w:pPr>
              <w:rPr>
                <w:rFonts w:ascii="Calibri" w:hAnsi="Calibri" w:cs="Calibri"/>
              </w:rPr>
            </w:pPr>
            <w:r w:rsidRPr="00907FD7">
              <w:rPr>
                <w:rFonts w:ascii="Calibri" w:hAnsi="Calibri" w:cs="Calibri"/>
              </w:rPr>
              <w:t>Varná konvice</w:t>
            </w:r>
          </w:p>
        </w:tc>
        <w:tc>
          <w:tcPr>
            <w:tcW w:w="2259" w:type="dxa"/>
          </w:tcPr>
          <w:p w14:paraId="748771B0" w14:textId="316F4248" w:rsidR="00600A27" w:rsidRPr="00907FD7" w:rsidRDefault="00600A27" w:rsidP="00AA6976">
            <w:pPr>
              <w:jc w:val="center"/>
              <w:rPr>
                <w:rFonts w:ascii="Calibri" w:hAnsi="Calibri" w:cs="Calibri"/>
              </w:rPr>
            </w:pPr>
            <w:r w:rsidRPr="00907FD7">
              <w:rPr>
                <w:rFonts w:ascii="Calibri" w:hAnsi="Calibri" w:cs="Calibri"/>
              </w:rPr>
              <w:t>v ceně pronájmu</w:t>
            </w:r>
          </w:p>
        </w:tc>
        <w:tc>
          <w:tcPr>
            <w:tcW w:w="2684" w:type="dxa"/>
            <w:vMerge/>
            <w:tcBorders>
              <w:bottom w:val="nil"/>
            </w:tcBorders>
          </w:tcPr>
          <w:p w14:paraId="0B216A85" w14:textId="77777777" w:rsidR="00600A27" w:rsidRPr="00907FD7" w:rsidRDefault="00600A27" w:rsidP="00CF39D0">
            <w:pPr>
              <w:rPr>
                <w:rFonts w:ascii="Calibri" w:hAnsi="Calibri" w:cs="Calibri"/>
              </w:rPr>
            </w:pPr>
          </w:p>
        </w:tc>
      </w:tr>
      <w:tr w:rsidR="00600A27" w:rsidRPr="00907FD7" w14:paraId="2D899921" w14:textId="77777777" w:rsidTr="005A057E">
        <w:trPr>
          <w:trHeight w:val="70"/>
        </w:trPr>
        <w:tc>
          <w:tcPr>
            <w:tcW w:w="6946" w:type="dxa"/>
            <w:gridSpan w:val="4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68B64E" w14:textId="77777777" w:rsidR="00600A27" w:rsidRPr="00907FD7" w:rsidRDefault="00600A27" w:rsidP="00CF39D0">
            <w:pPr>
              <w:rPr>
                <w:rFonts w:ascii="Calibri" w:hAnsi="Calibri" w:cs="Calibri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66F9B" w14:textId="77777777" w:rsidR="00600A27" w:rsidRPr="00907FD7" w:rsidRDefault="00600A27" w:rsidP="00CF39D0">
            <w:pPr>
              <w:rPr>
                <w:rFonts w:ascii="Calibri" w:hAnsi="Calibri" w:cs="Calibri"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</w:tcPr>
          <w:p w14:paraId="429459A9" w14:textId="0D0A2ADD" w:rsidR="00600A27" w:rsidRPr="00907FD7" w:rsidRDefault="00600A27" w:rsidP="00CF39D0">
            <w:pPr>
              <w:rPr>
                <w:rFonts w:ascii="Calibri" w:hAnsi="Calibri" w:cs="Calibri"/>
              </w:rPr>
            </w:pPr>
            <w:r w:rsidRPr="00907FD7">
              <w:rPr>
                <w:rFonts w:ascii="Calibri" w:hAnsi="Calibri" w:cs="Calibri"/>
              </w:rPr>
              <w:t>Kávovar</w:t>
            </w:r>
          </w:p>
        </w:tc>
        <w:tc>
          <w:tcPr>
            <w:tcW w:w="2259" w:type="dxa"/>
          </w:tcPr>
          <w:p w14:paraId="50409142" w14:textId="273EED80" w:rsidR="00600A27" w:rsidRPr="00907FD7" w:rsidRDefault="00600A27" w:rsidP="00AA6976">
            <w:pPr>
              <w:jc w:val="center"/>
              <w:rPr>
                <w:rFonts w:ascii="Calibri" w:hAnsi="Calibri" w:cs="Calibri"/>
              </w:rPr>
            </w:pPr>
            <w:r w:rsidRPr="00907FD7">
              <w:rPr>
                <w:rFonts w:ascii="Calibri" w:hAnsi="Calibri" w:cs="Calibri"/>
              </w:rPr>
              <w:t>v ceně pronájmu</w:t>
            </w:r>
          </w:p>
        </w:tc>
        <w:tc>
          <w:tcPr>
            <w:tcW w:w="2684" w:type="dxa"/>
            <w:vMerge/>
            <w:tcBorders>
              <w:bottom w:val="single" w:sz="4" w:space="0" w:color="auto"/>
            </w:tcBorders>
          </w:tcPr>
          <w:p w14:paraId="58115F80" w14:textId="77777777" w:rsidR="00600A27" w:rsidRPr="00907FD7" w:rsidRDefault="00600A27" w:rsidP="00CF39D0">
            <w:pPr>
              <w:rPr>
                <w:rFonts w:ascii="Calibri" w:hAnsi="Calibri" w:cs="Calibri"/>
              </w:rPr>
            </w:pPr>
          </w:p>
        </w:tc>
      </w:tr>
      <w:tr w:rsidR="00AA6976" w:rsidRPr="00907FD7" w14:paraId="3CE024D2" w14:textId="77777777" w:rsidTr="005A057E">
        <w:trPr>
          <w:trHeight w:val="40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DEBE" w14:textId="541373C4" w:rsidR="00AA6976" w:rsidRPr="005A057E" w:rsidRDefault="005A057E" w:rsidP="00CF39D0">
            <w:pPr>
              <w:rPr>
                <w:rFonts w:ascii="Calibri" w:hAnsi="Calibri" w:cs="Calibri"/>
                <w:sz w:val="21"/>
                <w:szCs w:val="21"/>
              </w:rPr>
            </w:pPr>
            <w:r w:rsidRPr="005A057E">
              <w:rPr>
                <w:rFonts w:ascii="Calibri" w:hAnsi="Calibri" w:cs="Calibri"/>
                <w:sz w:val="21"/>
                <w:szCs w:val="21"/>
              </w:rPr>
              <w:t xml:space="preserve">*sobotu lze pronajmout pouze na celý den (od </w:t>
            </w:r>
            <w:proofErr w:type="gramStart"/>
            <w:r w:rsidRPr="005A057E">
              <w:rPr>
                <w:rFonts w:ascii="Calibri" w:hAnsi="Calibri" w:cs="Calibri"/>
                <w:sz w:val="21"/>
                <w:szCs w:val="21"/>
              </w:rPr>
              <w:t>10h</w:t>
            </w:r>
            <w:proofErr w:type="gramEnd"/>
            <w:r w:rsidRPr="005A057E">
              <w:rPr>
                <w:rFonts w:ascii="Calibri" w:hAnsi="Calibri" w:cs="Calibri"/>
                <w:sz w:val="21"/>
                <w:szCs w:val="21"/>
              </w:rPr>
              <w:t xml:space="preserve"> do </w:t>
            </w:r>
            <w:proofErr w:type="gramStart"/>
            <w:r w:rsidRPr="005A057E">
              <w:rPr>
                <w:rFonts w:ascii="Calibri" w:hAnsi="Calibri" w:cs="Calibri"/>
                <w:sz w:val="21"/>
                <w:szCs w:val="21"/>
              </w:rPr>
              <w:t>10h</w:t>
            </w:r>
            <w:proofErr w:type="gramEnd"/>
            <w:r w:rsidRPr="005A057E">
              <w:rPr>
                <w:rFonts w:ascii="Calibri" w:hAnsi="Calibri" w:cs="Calibri"/>
                <w:sz w:val="21"/>
                <w:szCs w:val="21"/>
              </w:rPr>
              <w:t xml:space="preserve"> následujícího dne)</w:t>
            </w: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D0659" w14:textId="77777777" w:rsidR="00AA6976" w:rsidRPr="00907FD7" w:rsidRDefault="00AA6976" w:rsidP="00CF39D0">
            <w:pPr>
              <w:rPr>
                <w:rFonts w:ascii="Calibri" w:hAnsi="Calibri" w:cs="Calibri"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</w:tcPr>
          <w:p w14:paraId="3DC970C1" w14:textId="5C606140" w:rsidR="00AA6976" w:rsidRPr="00907FD7" w:rsidRDefault="00AA6976" w:rsidP="00CF39D0">
            <w:pPr>
              <w:rPr>
                <w:rFonts w:ascii="Calibri" w:hAnsi="Calibri" w:cs="Calibri"/>
              </w:rPr>
            </w:pPr>
            <w:r w:rsidRPr="00907FD7">
              <w:rPr>
                <w:rFonts w:ascii="Calibri" w:hAnsi="Calibri" w:cs="Calibri"/>
              </w:rPr>
              <w:t>Pračka</w:t>
            </w:r>
          </w:p>
        </w:tc>
        <w:tc>
          <w:tcPr>
            <w:tcW w:w="2259" w:type="dxa"/>
          </w:tcPr>
          <w:p w14:paraId="73F76F95" w14:textId="34CA7B29" w:rsidR="00AA6976" w:rsidRPr="00907FD7" w:rsidRDefault="00AA6976" w:rsidP="00AA6976">
            <w:pPr>
              <w:jc w:val="center"/>
              <w:rPr>
                <w:rFonts w:ascii="Calibri" w:hAnsi="Calibri" w:cs="Calibri"/>
              </w:rPr>
            </w:pPr>
            <w:r w:rsidRPr="00907FD7">
              <w:rPr>
                <w:rFonts w:ascii="Calibri" w:hAnsi="Calibri" w:cs="Calibri"/>
              </w:rPr>
              <w:t xml:space="preserve">Není v ceně </w:t>
            </w:r>
          </w:p>
        </w:tc>
        <w:tc>
          <w:tcPr>
            <w:tcW w:w="2684" w:type="dxa"/>
            <w:tcBorders>
              <w:top w:val="single" w:sz="4" w:space="0" w:color="auto"/>
            </w:tcBorders>
          </w:tcPr>
          <w:p w14:paraId="76808E4D" w14:textId="214532C8" w:rsidR="00AA6976" w:rsidRPr="00907FD7" w:rsidRDefault="001D5314" w:rsidP="00CF39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dle návodu</w:t>
            </w:r>
          </w:p>
        </w:tc>
      </w:tr>
    </w:tbl>
    <w:p w14:paraId="278D99FC" w14:textId="6E9933FA" w:rsidR="00600A27" w:rsidRPr="00907FD7" w:rsidRDefault="00600A27" w:rsidP="00600A27">
      <w:pPr>
        <w:spacing w:after="0" w:line="240" w:lineRule="auto"/>
        <w:rPr>
          <w:rFonts w:ascii="Calibri" w:hAnsi="Calibri" w:cs="Calibri"/>
        </w:rPr>
      </w:pPr>
      <w:r w:rsidRPr="00907FD7">
        <w:rPr>
          <w:rFonts w:ascii="Calibri" w:hAnsi="Calibri" w:cs="Calibri"/>
        </w:rPr>
        <w:t xml:space="preserve">Slevy: </w:t>
      </w:r>
      <w:proofErr w:type="gramStart"/>
      <w:r w:rsidRPr="00907FD7">
        <w:rPr>
          <w:rFonts w:ascii="Calibri" w:hAnsi="Calibri" w:cs="Calibri"/>
        </w:rPr>
        <w:tab/>
        <w:t xml:space="preserve">  50</w:t>
      </w:r>
      <w:proofErr w:type="gramEnd"/>
      <w:r w:rsidRPr="00907FD7">
        <w:rPr>
          <w:rFonts w:ascii="Calibri" w:hAnsi="Calibri" w:cs="Calibri"/>
        </w:rPr>
        <w:t xml:space="preserve"> % z jednorázových nájmů spolkům, které mají sídlo v </w:t>
      </w:r>
      <w:proofErr w:type="spellStart"/>
      <w:r w:rsidRPr="00907FD7">
        <w:rPr>
          <w:rFonts w:ascii="Calibri" w:hAnsi="Calibri" w:cs="Calibri"/>
        </w:rPr>
        <w:t>Ochozi</w:t>
      </w:r>
      <w:proofErr w:type="spellEnd"/>
      <w:r w:rsidRPr="00907FD7">
        <w:rPr>
          <w:rFonts w:ascii="Calibri" w:hAnsi="Calibri" w:cs="Calibri"/>
        </w:rPr>
        <w:t xml:space="preserve"> u Brna a pořádají kulturní, sportovní, vzdělávací a osvětovou činnost.</w:t>
      </w:r>
    </w:p>
    <w:p w14:paraId="6C376A44" w14:textId="0DE88DB3" w:rsidR="00600A27" w:rsidRPr="00907FD7" w:rsidRDefault="00600A27" w:rsidP="00600A27">
      <w:pPr>
        <w:spacing w:after="0" w:line="240" w:lineRule="auto"/>
        <w:rPr>
          <w:rFonts w:ascii="Calibri" w:hAnsi="Calibri" w:cs="Calibri"/>
        </w:rPr>
      </w:pPr>
      <w:r w:rsidRPr="00907FD7">
        <w:rPr>
          <w:rFonts w:ascii="Calibri" w:hAnsi="Calibri" w:cs="Calibri"/>
        </w:rPr>
        <w:tab/>
        <w:t>100 % z pravidelných dlouhodobých nájmů spolkům se sídlem v </w:t>
      </w:r>
      <w:proofErr w:type="spellStart"/>
      <w:r w:rsidRPr="00907FD7">
        <w:rPr>
          <w:rFonts w:ascii="Calibri" w:hAnsi="Calibri" w:cs="Calibri"/>
        </w:rPr>
        <w:t>Ochozi</w:t>
      </w:r>
      <w:proofErr w:type="spellEnd"/>
      <w:r w:rsidRPr="00907FD7">
        <w:rPr>
          <w:rFonts w:ascii="Calibri" w:hAnsi="Calibri" w:cs="Calibri"/>
        </w:rPr>
        <w:t xml:space="preserve"> u Brna, vykonávající nekomerční činnost</w:t>
      </w:r>
      <w:r w:rsidR="00907FD7" w:rsidRPr="00907FD7">
        <w:rPr>
          <w:rFonts w:ascii="Calibri" w:hAnsi="Calibri" w:cs="Calibri"/>
        </w:rPr>
        <w:t xml:space="preserve"> zaměřenou na komunitní život v obci.</w:t>
      </w:r>
    </w:p>
    <w:p w14:paraId="373E18E9" w14:textId="77777777" w:rsidR="00600A27" w:rsidRPr="00907FD7" w:rsidRDefault="00600A27" w:rsidP="00600A2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4B94D6B" w14:textId="20E42541" w:rsidR="00907FD7" w:rsidRPr="00907FD7" w:rsidRDefault="00907FD7" w:rsidP="00600A27">
      <w:pPr>
        <w:spacing w:after="0" w:line="240" w:lineRule="auto"/>
        <w:rPr>
          <w:rFonts w:ascii="Calibri" w:hAnsi="Calibri" w:cs="Calibri"/>
        </w:rPr>
      </w:pPr>
      <w:r w:rsidRPr="00907FD7">
        <w:rPr>
          <w:rFonts w:ascii="Calibri" w:hAnsi="Calibri" w:cs="Calibri"/>
        </w:rPr>
        <w:t>Odpovědná osoba: 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</w:t>
      </w:r>
      <w:r w:rsidR="00F767C6">
        <w:rPr>
          <w:rFonts w:ascii="Calibri" w:hAnsi="Calibri" w:cs="Calibri"/>
        </w:rPr>
        <w:t>……………………………………</w:t>
      </w:r>
      <w:r w:rsidR="00F767C6">
        <w:rPr>
          <w:rFonts w:ascii="Calibri" w:hAnsi="Calibri" w:cs="Calibri"/>
        </w:rPr>
        <w:tab/>
      </w:r>
      <w:r w:rsidRPr="00907FD7">
        <w:rPr>
          <w:rFonts w:ascii="Calibri" w:hAnsi="Calibri" w:cs="Calibri"/>
        </w:rPr>
        <w:t>……………………………………………………………………………..</w:t>
      </w:r>
    </w:p>
    <w:p w14:paraId="58305255" w14:textId="182AAB36" w:rsidR="00907FD7" w:rsidRPr="00907FD7" w:rsidRDefault="00907FD7" w:rsidP="00600A2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07FD7">
        <w:rPr>
          <w:rFonts w:ascii="Calibri" w:hAnsi="Calibri" w:cs="Calibri"/>
        </w:rPr>
        <w:tab/>
      </w:r>
      <w:r w:rsidRPr="00907FD7">
        <w:rPr>
          <w:rFonts w:ascii="Calibri" w:hAnsi="Calibri" w:cs="Calibri"/>
        </w:rPr>
        <w:tab/>
      </w:r>
      <w:r w:rsidRPr="00907FD7">
        <w:rPr>
          <w:rFonts w:ascii="Calibri" w:hAnsi="Calibri" w:cs="Calibri"/>
        </w:rPr>
        <w:tab/>
      </w:r>
      <w:r w:rsidRPr="00907FD7">
        <w:rPr>
          <w:rFonts w:ascii="Calibri" w:hAnsi="Calibri" w:cs="Calibri"/>
        </w:rPr>
        <w:tab/>
      </w:r>
      <w:r w:rsidRPr="00907FD7">
        <w:rPr>
          <w:rFonts w:ascii="Calibri" w:hAnsi="Calibri" w:cs="Calibri"/>
          <w:sz w:val="20"/>
          <w:szCs w:val="20"/>
        </w:rPr>
        <w:t>jméno, příjmení, tel. č., adresa</w:t>
      </w:r>
      <w:r w:rsidRPr="00907FD7">
        <w:rPr>
          <w:rFonts w:ascii="Calibri" w:hAnsi="Calibri" w:cs="Calibri"/>
          <w:sz w:val="20"/>
          <w:szCs w:val="20"/>
        </w:rPr>
        <w:tab/>
      </w:r>
      <w:r w:rsidRPr="00907FD7">
        <w:rPr>
          <w:rFonts w:ascii="Calibri" w:hAnsi="Calibri" w:cs="Calibri"/>
          <w:sz w:val="20"/>
          <w:szCs w:val="20"/>
        </w:rPr>
        <w:tab/>
      </w:r>
      <w:r w:rsidRPr="00907FD7">
        <w:rPr>
          <w:rFonts w:ascii="Calibri" w:hAnsi="Calibri" w:cs="Calibri"/>
          <w:sz w:val="20"/>
          <w:szCs w:val="20"/>
        </w:rPr>
        <w:tab/>
      </w:r>
      <w:r w:rsidRPr="00907FD7">
        <w:rPr>
          <w:rFonts w:ascii="Calibri" w:hAnsi="Calibri" w:cs="Calibri"/>
          <w:sz w:val="20"/>
          <w:szCs w:val="20"/>
        </w:rPr>
        <w:tab/>
      </w:r>
      <w:r w:rsidRPr="00907FD7">
        <w:rPr>
          <w:rFonts w:ascii="Calibri" w:hAnsi="Calibri" w:cs="Calibri"/>
          <w:sz w:val="20"/>
          <w:szCs w:val="20"/>
        </w:rPr>
        <w:tab/>
      </w:r>
      <w:r w:rsidR="00F767C6">
        <w:rPr>
          <w:rFonts w:ascii="Calibri" w:hAnsi="Calibri" w:cs="Calibri"/>
          <w:sz w:val="20"/>
          <w:szCs w:val="20"/>
        </w:rPr>
        <w:tab/>
      </w:r>
      <w:r w:rsidR="00F767C6">
        <w:rPr>
          <w:rFonts w:ascii="Calibri" w:hAnsi="Calibri" w:cs="Calibri"/>
          <w:sz w:val="20"/>
          <w:szCs w:val="20"/>
        </w:rPr>
        <w:tab/>
      </w:r>
      <w:r w:rsidR="00F767C6">
        <w:rPr>
          <w:rFonts w:ascii="Calibri" w:hAnsi="Calibri" w:cs="Calibri"/>
          <w:sz w:val="20"/>
          <w:szCs w:val="20"/>
        </w:rPr>
        <w:tab/>
      </w:r>
      <w:r w:rsidRPr="00907FD7">
        <w:rPr>
          <w:rFonts w:ascii="Calibri" w:hAnsi="Calibri" w:cs="Calibri"/>
          <w:sz w:val="20"/>
          <w:szCs w:val="20"/>
        </w:rPr>
        <w:t>podpis</w:t>
      </w:r>
    </w:p>
    <w:p w14:paraId="7B6E135B" w14:textId="77777777" w:rsidR="00907FD7" w:rsidRPr="00907FD7" w:rsidRDefault="00907FD7" w:rsidP="00600A2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A19D26C" w14:textId="77777777" w:rsidR="00907FD7" w:rsidRDefault="00907FD7" w:rsidP="00907FD7">
      <w:pPr>
        <w:spacing w:after="0" w:line="240" w:lineRule="auto"/>
        <w:rPr>
          <w:rFonts w:ascii="Calibri" w:hAnsi="Calibri" w:cs="Calibri"/>
        </w:rPr>
      </w:pPr>
    </w:p>
    <w:p w14:paraId="529447E8" w14:textId="07C73ECF" w:rsidR="00907FD7" w:rsidRDefault="00600A27" w:rsidP="00907FD7">
      <w:pPr>
        <w:spacing w:after="0" w:line="240" w:lineRule="auto"/>
        <w:rPr>
          <w:rFonts w:ascii="Calibri" w:hAnsi="Calibri" w:cs="Calibri"/>
        </w:rPr>
      </w:pPr>
      <w:r w:rsidRPr="00907FD7">
        <w:rPr>
          <w:rFonts w:ascii="Calibri" w:hAnsi="Calibri" w:cs="Calibri"/>
        </w:rPr>
        <w:t>V </w:t>
      </w:r>
      <w:proofErr w:type="spellStart"/>
      <w:r w:rsidRPr="00907FD7">
        <w:rPr>
          <w:rFonts w:ascii="Calibri" w:hAnsi="Calibri" w:cs="Calibri"/>
        </w:rPr>
        <w:t>Ochozi</w:t>
      </w:r>
      <w:proofErr w:type="spellEnd"/>
      <w:r w:rsidRPr="00907FD7">
        <w:rPr>
          <w:rFonts w:ascii="Calibri" w:hAnsi="Calibri" w:cs="Calibri"/>
        </w:rPr>
        <w:t xml:space="preserve"> u Brna</w:t>
      </w:r>
      <w:r w:rsidR="00907FD7" w:rsidRPr="00907FD7">
        <w:rPr>
          <w:rFonts w:ascii="Calibri" w:hAnsi="Calibri" w:cs="Calibri"/>
        </w:rPr>
        <w:t xml:space="preserve"> dne ……………………………………</w:t>
      </w:r>
      <w:proofErr w:type="gramStart"/>
      <w:r w:rsidR="00907FD7" w:rsidRPr="00907FD7">
        <w:rPr>
          <w:rFonts w:ascii="Calibri" w:hAnsi="Calibri" w:cs="Calibri"/>
        </w:rPr>
        <w:t>…….</w:t>
      </w:r>
      <w:proofErr w:type="gramEnd"/>
      <w:r w:rsidR="00907FD7" w:rsidRPr="00907FD7">
        <w:rPr>
          <w:rFonts w:ascii="Calibri" w:hAnsi="Calibri" w:cs="Calibri"/>
        </w:rPr>
        <w:t>.</w:t>
      </w:r>
      <w:r w:rsidR="00907FD7" w:rsidRPr="00907FD7">
        <w:rPr>
          <w:rFonts w:ascii="Calibri" w:hAnsi="Calibri" w:cs="Calibri"/>
        </w:rPr>
        <w:tab/>
      </w:r>
      <w:r w:rsidR="00907FD7" w:rsidRPr="00907FD7">
        <w:rPr>
          <w:rFonts w:ascii="Calibri" w:hAnsi="Calibri" w:cs="Calibri"/>
        </w:rPr>
        <w:tab/>
        <w:t>………………………………………………………………………………</w:t>
      </w:r>
      <w:r w:rsidR="00F767C6">
        <w:rPr>
          <w:rFonts w:ascii="Calibri" w:hAnsi="Calibri" w:cs="Calibri"/>
        </w:rPr>
        <w:t>………………………………………</w:t>
      </w:r>
    </w:p>
    <w:p w14:paraId="4B93E335" w14:textId="03C349D5" w:rsidR="00907FD7" w:rsidRPr="00462287" w:rsidRDefault="00907FD7" w:rsidP="00F767C6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sz w:val="20"/>
          <w:szCs w:val="20"/>
        </w:rPr>
        <w:t>z</w:t>
      </w:r>
      <w:r w:rsidRPr="00907FD7">
        <w:rPr>
          <w:rFonts w:ascii="Calibri" w:hAnsi="Calibri" w:cs="Calibri"/>
          <w:sz w:val="20"/>
          <w:szCs w:val="20"/>
        </w:rPr>
        <w:t>a pronajímatele</w:t>
      </w:r>
      <w:r>
        <w:rPr>
          <w:rFonts w:ascii="Calibri" w:hAnsi="Calibri" w:cs="Calibri"/>
          <w:sz w:val="20"/>
          <w:szCs w:val="20"/>
        </w:rPr>
        <w:t xml:space="preserve"> obec Ochoz u Brna, IČO 00282243, Náves 17/2, 66402 Ochoz u Brna</w:t>
      </w:r>
    </w:p>
    <w:sectPr w:rsidR="00907FD7" w:rsidRPr="00462287" w:rsidSect="00462287">
      <w:pgSz w:w="16838" w:h="11906" w:orient="landscape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D0"/>
    <w:rsid w:val="001D5314"/>
    <w:rsid w:val="00301B38"/>
    <w:rsid w:val="00462287"/>
    <w:rsid w:val="005635A7"/>
    <w:rsid w:val="005A057E"/>
    <w:rsid w:val="00600A27"/>
    <w:rsid w:val="0067544A"/>
    <w:rsid w:val="00695637"/>
    <w:rsid w:val="00907FD7"/>
    <w:rsid w:val="00AA6976"/>
    <w:rsid w:val="00B63CAE"/>
    <w:rsid w:val="00BF4CEC"/>
    <w:rsid w:val="00CF39D0"/>
    <w:rsid w:val="00F7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C958"/>
  <w15:chartTrackingRefBased/>
  <w15:docId w15:val="{06CF1E0C-8A94-431D-A69D-26A07381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3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3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3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3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3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3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3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3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3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3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3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3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39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39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39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39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39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39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3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3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3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3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3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39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39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39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3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39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39D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F39D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3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chozubrna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410</Words>
  <Characters>2385</Characters>
  <Application>Microsoft Office Word</Application>
  <DocSecurity>0</DocSecurity>
  <Lines>99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Drochytková</dc:creator>
  <cp:keywords/>
  <dc:description/>
  <cp:lastModifiedBy>Eva Drochytková</cp:lastModifiedBy>
  <cp:revision>6</cp:revision>
  <cp:lastPrinted>2026-02-09T08:19:00Z</cp:lastPrinted>
  <dcterms:created xsi:type="dcterms:W3CDTF">2026-02-03T17:19:00Z</dcterms:created>
  <dcterms:modified xsi:type="dcterms:W3CDTF">2026-02-19T10:19:00Z</dcterms:modified>
</cp:coreProperties>
</file>